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Long Daniel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SEPTERNA,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EAST GRAND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Septerna, Inc.</w:t>
              </w:r>
            </w:hyperlink>
            <w:r>
              <w:rPr/>
              <w:t xml:space="preserve"> [ </w:t>
            </w:r>
            <w:r>
              <w:rPr>
                <w:rFonts w:ascii="Times;serif" w:hAnsi="Times;serif"/>
                <w:color w:val="0000FF"/>
                <w:sz w:val="24"/>
                <w:shd w:fill="FFFFFF" w:val="clear"/>
              </w:rPr>
              <w:t>SEPN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Drug Discovery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99,745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3,333</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37.8271</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96,412</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03/19/2034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sales plan adopted by the Reporting Person on March 20,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$37.34 to $38.21.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1/48th of the shares subject to such option shall vest and become exercisable in substantially equal monthly installments on each monthly anniversary of March 1, 2024, subject to the Reporting Person's continuous service to the Issuer on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A. Wilson,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40349" TargetMode="External"/><Relationship Id="rId5" Type="http://schemas.openxmlformats.org/officeDocument/2006/relationships/hyperlink" Target="http://www.sec.gov/cgi-bin/browse-edgar?action=getcompany&amp;CIK=00019840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3869</Characters>
  <CharactersWithSpaces>4502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