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Bhatt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SEPTERNA,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EAST GRAND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Septerna, Inc.</w:t>
              </w:r>
            </w:hyperlink>
            <w:r>
              <w:rPr/>
              <w:t xml:space="preserve"> [ </w:t>
            </w:r>
            <w:r>
              <w:rPr>
                <w:rFonts w:ascii="Times;serif" w:hAnsi="Times;serif"/>
                <w:color w:val="0000FF"/>
                <w:sz w:val="24"/>
                <w:shd w:fill="FFFFFF" w:val="clear"/>
              </w:rPr>
              <w:t>SEPN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18,681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192,890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199,209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174,209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62,230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82,332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sales plan adopted by the Reporting Person on October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1/48th of the shares subject to such option vest and become exercisable in substantially equal monthly installments on each monthly anniversary of October 28, 2024,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1/48th of the shares subject to such option vest and become exercisable in substantially equal monthly installments on each monthly anniversary of August 1, 2023, subject to the Reporting Person's continuous service to the Issuer on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A. Wilson,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48622" TargetMode="External"/><Relationship Id="rId5" Type="http://schemas.openxmlformats.org/officeDocument/2006/relationships/hyperlink" Target="http://www.sec.gov/cgi-bin/browse-edgar?action=getcompany&amp;CIK=00019840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3863</Characters>
  <CharactersWithSpaces>4473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