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42026_090829.xml.htm"/>
      <w:bookmarkStart w:id="1" w:name="ksform408142026_0908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Septerna, Inc.</w:t>
              </w:r>
            </w:hyperlink>
            <w:r>
              <w:rPr/>
              <w:t xml:space="preserve"> [ </w:t>
            </w:r>
            <w:r>
              <w:rPr>
                <w:rFonts w:ascii="Times;serif" w:hAnsi="Times;serif"/>
                <w:color w:val="0000FF"/>
                <w:sz w:val="24"/>
                <w:shd w:fill="FFFFFF" w:val="clear"/>
              </w:rPr>
              <w:t>SEPN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02"/>
        <w:gridCol w:w="435"/>
        <w:gridCol w:w="654"/>
        <w:gridCol w:w="1254"/>
        <w:gridCol w:w="97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746,500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4,777,415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746,500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725,443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RA Capital Management, L.P. (the "Adviser") is the investment manager for RA Capital Healthcare Fund, L.P. (the "Fund") and RA Capital Nexus Fund III, L.P. (the "Nexus Fund III"). The general partner of the Adviser is RA Capital Management GP, LLC (the "Adviser GP"), of which Dr. Peter Kolchinsky and Mr. Rajeev Shah are the managing members. Each of the Adviser, the Adviser GP, the Fund, the Nexus Fund III,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the Nexus Fund III.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Jake Simson, a Partner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III GP, LLC, the General Partner of RA Capital Nexus Fund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9840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883840" TargetMode="External"/><Relationship Id="rId12" Type="http://schemas.openxmlformats.org/officeDocument/2006/relationships/hyperlink" Target="http://www.sec.gov/cgi-bin/browse-edgar?action=getcompany&amp;CIK=0001384859" TargetMode="External"/><Relationship Id="rId13" Type="http://schemas.openxmlformats.org/officeDocument/2006/relationships/hyperlink" Target="http://www.sec.gov/cgi-bin/browse-edgar?action=getcompany&amp;CIK=0001619841"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899</Words>
  <Characters>4845</Characters>
  <CharactersWithSpaces>5589</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